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26" w:rsidRPr="009C6C26" w:rsidRDefault="009C6C26" w:rsidP="009C6C26">
      <w:pPr>
        <w:pStyle w:val="Heading1"/>
        <w:jc w:val="center"/>
        <w:rPr>
          <w:color w:val="FF0000"/>
          <w:sz w:val="52"/>
          <w:szCs w:val="52"/>
        </w:rPr>
      </w:pPr>
      <w:bookmarkStart w:id="0" w:name="_GoBack"/>
      <w:bookmarkEnd w:id="0"/>
      <w:r w:rsidRPr="009C6C26">
        <w:rPr>
          <w:color w:val="FF0000"/>
          <w:sz w:val="52"/>
          <w:szCs w:val="52"/>
        </w:rPr>
        <w:t>DRAFT</w:t>
      </w:r>
    </w:p>
    <w:p w:rsidR="006913B0" w:rsidRDefault="009C6C26" w:rsidP="006913B0">
      <w:pPr>
        <w:pStyle w:val="Heading1"/>
      </w:pPr>
      <w:r>
        <w:t>W</w:t>
      </w:r>
      <w:r w:rsidR="006913B0">
        <w:t>hat is CSG?</w:t>
      </w:r>
    </w:p>
    <w:p w:rsidR="006913B0" w:rsidRPr="006913B0" w:rsidRDefault="006913B0" w:rsidP="006913B0">
      <w:r>
        <w:t>Citrix Secure Gateway is a software feature for both Citrix XenApp and XenDesktop that allows simple proxying of ICA connections</w:t>
      </w:r>
      <w:r w:rsidR="00FD5AF1">
        <w:t xml:space="preserve"> over SSL</w:t>
      </w:r>
      <w:r>
        <w:t xml:space="preserve"> from a network of clients (typically WAN users) to a set of internal resources (a XenApp or XenDesktop farm).</w:t>
      </w:r>
      <w:r w:rsidR="00FD5AF1">
        <w:t xml:space="preserve">  This feature runs on Windows Server and is typically assigned an external IP, so will usually be found in the DMZ.  Citrix appears to be positioning away from this platform in favor of a virtual appliance of the CAG.</w:t>
      </w:r>
    </w:p>
    <w:p w:rsidR="00620602" w:rsidRDefault="00620602" w:rsidP="00E87B3B">
      <w:pPr>
        <w:pStyle w:val="Heading1"/>
      </w:pPr>
      <w:r>
        <w:t>What is a CAG</w:t>
      </w:r>
      <w:r w:rsidR="00272F40">
        <w:t>?</w:t>
      </w:r>
    </w:p>
    <w:p w:rsidR="00013A72" w:rsidRDefault="00620602" w:rsidP="00620602">
      <w:r>
        <w:t>Citrix Access Gateway</w:t>
      </w:r>
      <w:r w:rsidR="00FD5AF1">
        <w:t xml:space="preserve"> is a hardware appliance</w:t>
      </w:r>
      <w:r w:rsidR="00756B60">
        <w:t xml:space="preserve"> or virtual machine appliance </w:t>
      </w:r>
      <w:r w:rsidR="00FD5AF1">
        <w:t xml:space="preserve">of the CSG.  In addition to the CSG features, the CAG appliance can act as a general purpose SSL VPN </w:t>
      </w:r>
      <w:r w:rsidR="005527F7">
        <w:t>solution with the ability to proxy protocols other than ICA</w:t>
      </w:r>
    </w:p>
    <w:p w:rsidR="006913B0" w:rsidRDefault="00013A72" w:rsidP="00013A72">
      <w:pPr>
        <w:jc w:val="center"/>
      </w:pPr>
      <w:r>
        <w:rPr>
          <w:noProof/>
        </w:rPr>
        <w:drawing>
          <wp:inline distT="0" distB="0" distL="0" distR="0" wp14:anchorId="7F493612" wp14:editId="36AC54F0">
            <wp:extent cx="2020824" cy="413364"/>
            <wp:effectExtent l="0" t="0" r="0" b="6350"/>
            <wp:docPr id="5" name="Picture 5" descr="Citrix Netscaler Application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rix Netscaler Application Swi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758" cy="414169"/>
                    </a:xfrm>
                    <a:prstGeom prst="rect">
                      <a:avLst/>
                    </a:prstGeom>
                    <a:noFill/>
                    <a:ln>
                      <a:noFill/>
                    </a:ln>
                  </pic:spPr>
                </pic:pic>
              </a:graphicData>
            </a:graphic>
          </wp:inline>
        </w:drawing>
      </w:r>
      <w:r>
        <w:rPr>
          <w:noProof/>
        </w:rPr>
        <w:drawing>
          <wp:inline distT="0" distB="0" distL="0" distR="0" wp14:anchorId="4B8915BE" wp14:editId="6513FC67">
            <wp:extent cx="2121408" cy="472591"/>
            <wp:effectExtent l="0" t="0" r="0" b="3810"/>
            <wp:docPr id="4" name="Picture 4" descr="http://image2.aving.net/2010/03/10/20100310111936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2.aving.net/2010/03/10/2010031011193662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0" t="26566" r="1599" b="20695"/>
                    <a:stretch/>
                  </pic:blipFill>
                  <pic:spPr bwMode="auto">
                    <a:xfrm>
                      <a:off x="0" y="0"/>
                      <a:ext cx="2121408" cy="472591"/>
                    </a:xfrm>
                    <a:prstGeom prst="rect">
                      <a:avLst/>
                    </a:prstGeom>
                    <a:noFill/>
                    <a:ln>
                      <a:noFill/>
                    </a:ln>
                    <a:extLst>
                      <a:ext uri="{53640926-AAD7-44D8-BBD7-CCE9431645EC}">
                        <a14:shadowObscured xmlns:a14="http://schemas.microsoft.com/office/drawing/2010/main"/>
                      </a:ext>
                    </a:extLst>
                  </pic:spPr>
                </pic:pic>
              </a:graphicData>
            </a:graphic>
          </wp:inline>
        </w:drawing>
      </w:r>
    </w:p>
    <w:p w:rsidR="005527F7" w:rsidRDefault="00F843E4" w:rsidP="00756B60">
      <w:pPr>
        <w:pStyle w:val="Subtitle"/>
      </w:pPr>
      <w:r>
        <w:t>Editions</w:t>
      </w:r>
    </w:p>
    <w:p w:rsidR="00F843E4" w:rsidRDefault="00F843E4" w:rsidP="00756B60">
      <w:pPr>
        <w:pStyle w:val="ListParagraph"/>
        <w:numPr>
          <w:ilvl w:val="0"/>
          <w:numId w:val="2"/>
        </w:numPr>
      </w:pPr>
      <w:r>
        <w:t>CAG Standard – available as a hardware appliance or virtual machine appliance</w:t>
      </w:r>
    </w:p>
    <w:p w:rsidR="00CC28C2" w:rsidRDefault="00CC28C2" w:rsidP="00CC28C2">
      <w:pPr>
        <w:pStyle w:val="ListParagraph"/>
        <w:numPr>
          <w:ilvl w:val="1"/>
          <w:numId w:val="2"/>
        </w:numPr>
      </w:pPr>
      <w:r>
        <w:t>Model 2010 or VPX</w:t>
      </w:r>
    </w:p>
    <w:p w:rsidR="00F843E4" w:rsidRDefault="00F843E4" w:rsidP="00756B60">
      <w:pPr>
        <w:pStyle w:val="ListParagraph"/>
        <w:numPr>
          <w:ilvl w:val="0"/>
          <w:numId w:val="2"/>
        </w:numPr>
      </w:pPr>
      <w:r>
        <w:t>CAG Advanced – available as a hardware appliance or virtual machine appliance</w:t>
      </w:r>
    </w:p>
    <w:p w:rsidR="00CC28C2" w:rsidRDefault="00CC28C2" w:rsidP="00CC28C2">
      <w:pPr>
        <w:pStyle w:val="ListParagraph"/>
        <w:numPr>
          <w:ilvl w:val="1"/>
          <w:numId w:val="2"/>
        </w:numPr>
      </w:pPr>
      <w:r>
        <w:t>Model 2010 or VPX</w:t>
      </w:r>
    </w:p>
    <w:p w:rsidR="00F843E4" w:rsidRDefault="00F843E4" w:rsidP="00756B60">
      <w:pPr>
        <w:pStyle w:val="ListParagraph"/>
        <w:numPr>
          <w:ilvl w:val="0"/>
          <w:numId w:val="2"/>
        </w:numPr>
      </w:pPr>
      <w:r>
        <w:t xml:space="preserve">CAG Enterprise – available </w:t>
      </w:r>
      <w:r w:rsidR="00CC28C2">
        <w:t>as a hardware appliance</w:t>
      </w:r>
    </w:p>
    <w:p w:rsidR="00CC28C2" w:rsidRDefault="00CC28C2" w:rsidP="00CC28C2">
      <w:pPr>
        <w:pStyle w:val="ListParagraph"/>
        <w:numPr>
          <w:ilvl w:val="1"/>
          <w:numId w:val="2"/>
        </w:numPr>
      </w:pPr>
      <w:r>
        <w:t>MPX 5500</w:t>
      </w:r>
    </w:p>
    <w:p w:rsidR="004D38AB" w:rsidRDefault="00E87B3B" w:rsidP="00E87B3B">
      <w:pPr>
        <w:pStyle w:val="Heading1"/>
      </w:pPr>
      <w:r>
        <w:t>What is a NetScaler</w:t>
      </w:r>
      <w:r w:rsidR="00272F40">
        <w:t>?</w:t>
      </w:r>
    </w:p>
    <w:p w:rsidR="00E87B3B" w:rsidRDefault="005527F7" w:rsidP="005527F7">
      <w:r>
        <w:t xml:space="preserve">The Citrix NetScaler is also a hardware appliance with additional enterprise features.  In addition to the ability to proxy ICA connections over SSL, it is also capable of load-balancing, SSL offloading, content caching, and defensive packet inspection for security threat management.  </w:t>
      </w:r>
      <w:r w:rsidR="00E87B3B">
        <w:t>Additionally, while the NetScaler is produced by Citrix it is capable and fully supported to load-balance non-Citrix resources (Apache or IIS servers, VMware View, RDS/RDP, etc).</w:t>
      </w:r>
    </w:p>
    <w:p w:rsidR="00013A72" w:rsidRDefault="00013A72" w:rsidP="00013A72">
      <w:pPr>
        <w:jc w:val="center"/>
      </w:pPr>
      <w:r>
        <w:rPr>
          <w:noProof/>
        </w:rPr>
        <w:drawing>
          <wp:inline distT="0" distB="0" distL="0" distR="0" wp14:anchorId="46DF0306" wp14:editId="7483C854">
            <wp:extent cx="2123906" cy="612648"/>
            <wp:effectExtent l="0" t="0" r="0" b="0"/>
            <wp:docPr id="6" name="Picture 6" descr="Citrix NetScaler hardware app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ix NetScaler hardware applia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534" cy="612829"/>
                    </a:xfrm>
                    <a:prstGeom prst="rect">
                      <a:avLst/>
                    </a:prstGeom>
                    <a:noFill/>
                    <a:ln>
                      <a:noFill/>
                    </a:ln>
                  </pic:spPr>
                </pic:pic>
              </a:graphicData>
            </a:graphic>
          </wp:inline>
        </w:drawing>
      </w:r>
    </w:p>
    <w:p w:rsidR="00F843E4" w:rsidRDefault="00F843E4" w:rsidP="00F843E4">
      <w:pPr>
        <w:pStyle w:val="Subtitle"/>
      </w:pPr>
      <w:r>
        <w:t>Editions</w:t>
      </w:r>
    </w:p>
    <w:p w:rsidR="00F843E4" w:rsidRDefault="00CC28C2" w:rsidP="00CC28C2">
      <w:pPr>
        <w:pStyle w:val="ListParagraph"/>
        <w:numPr>
          <w:ilvl w:val="0"/>
          <w:numId w:val="3"/>
        </w:numPr>
      </w:pPr>
      <w:r>
        <w:t>NetScaler Standard – available as a hardware appliance or virtual machine appliance</w:t>
      </w:r>
    </w:p>
    <w:p w:rsidR="00CC28C2" w:rsidRDefault="00CC28C2" w:rsidP="00CC28C2">
      <w:pPr>
        <w:pStyle w:val="ListParagraph"/>
        <w:numPr>
          <w:ilvl w:val="0"/>
          <w:numId w:val="3"/>
        </w:numPr>
      </w:pPr>
      <w:r>
        <w:t>NetScaler Advanced – available as a hardware appliance or virtual machine appliance</w:t>
      </w:r>
    </w:p>
    <w:p w:rsidR="00CC28C2" w:rsidRDefault="00CC28C2" w:rsidP="00CC28C2">
      <w:pPr>
        <w:pStyle w:val="ListParagraph"/>
        <w:numPr>
          <w:ilvl w:val="0"/>
          <w:numId w:val="3"/>
        </w:numPr>
      </w:pPr>
      <w:r>
        <w:t>NetScaler Enterprise – available as a hardware appliance or virtual machine appliance</w:t>
      </w:r>
    </w:p>
    <w:p w:rsidR="00CC28C2" w:rsidRDefault="00CC28C2" w:rsidP="00CC28C2">
      <w:pPr>
        <w:ind w:left="360"/>
      </w:pPr>
      <w:r>
        <w:lastRenderedPageBreak/>
        <w:t>NetScaler hardware and virtual appliances are purchased to fit traffic capacity and processing capability.  Licensing for standard/advanced/enterprise can be added to the VPX or any of the NetScaler hardware models.</w:t>
      </w:r>
    </w:p>
    <w:p w:rsidR="005527F7" w:rsidRDefault="005527F7" w:rsidP="005527F7">
      <w:pPr>
        <w:pStyle w:val="Heading1"/>
      </w:pPr>
      <w:r>
        <w:t>WTOS/Xenith Support for CSG, CAG, and NetScaler</w:t>
      </w:r>
    </w:p>
    <w:p w:rsidR="005527F7" w:rsidRDefault="00C00F24" w:rsidP="005527F7">
      <w:r>
        <w:t xml:space="preserve">As of </w:t>
      </w:r>
      <w:r w:rsidR="005527F7">
        <w:t xml:space="preserve">Wyse </w:t>
      </w:r>
      <w:r w:rsidR="005527F7" w:rsidRPr="00C00F24">
        <w:rPr>
          <w:highlight w:val="yellow"/>
        </w:rPr>
        <w:t>ThinOS</w:t>
      </w:r>
      <w:r w:rsidRPr="00C00F24">
        <w:rPr>
          <w:highlight w:val="yellow"/>
        </w:rPr>
        <w:t xml:space="preserve"> 7.X</w:t>
      </w:r>
      <w:r w:rsidR="005527F7">
        <w:t xml:space="preserve"> and </w:t>
      </w:r>
      <w:r w:rsidR="005527F7" w:rsidRPr="00C00F24">
        <w:rPr>
          <w:highlight w:val="yellow"/>
        </w:rPr>
        <w:t xml:space="preserve">Xenith </w:t>
      </w:r>
      <w:r w:rsidRPr="00C00F24">
        <w:rPr>
          <w:highlight w:val="yellow"/>
        </w:rPr>
        <w:t>X.X</w:t>
      </w:r>
      <w:r>
        <w:t xml:space="preserve">, we </w:t>
      </w:r>
      <w:r w:rsidR="005527F7">
        <w:t xml:space="preserve">are successfully able </w:t>
      </w:r>
      <w:r w:rsidR="00756B60">
        <w:t>to connect to the following:</w:t>
      </w:r>
    </w:p>
    <w:p w:rsidR="00756B60" w:rsidRPr="00C00F24" w:rsidRDefault="00756B60" w:rsidP="00756B60">
      <w:pPr>
        <w:pStyle w:val="ListParagraph"/>
        <w:numPr>
          <w:ilvl w:val="0"/>
          <w:numId w:val="1"/>
        </w:numPr>
        <w:rPr>
          <w:highlight w:val="yellow"/>
        </w:rPr>
      </w:pPr>
      <w:commentRangeStart w:id="1"/>
      <w:r w:rsidRPr="00C00F24">
        <w:rPr>
          <w:highlight w:val="yellow"/>
        </w:rPr>
        <w:t>CSG</w:t>
      </w:r>
    </w:p>
    <w:p w:rsidR="00756B60" w:rsidRPr="00C00F24" w:rsidRDefault="00756B60" w:rsidP="00756B60">
      <w:pPr>
        <w:pStyle w:val="ListParagraph"/>
        <w:numPr>
          <w:ilvl w:val="0"/>
          <w:numId w:val="1"/>
        </w:numPr>
        <w:rPr>
          <w:highlight w:val="yellow"/>
        </w:rPr>
      </w:pPr>
      <w:r w:rsidRPr="00C00F24">
        <w:rPr>
          <w:highlight w:val="yellow"/>
        </w:rPr>
        <w:t>CAG</w:t>
      </w:r>
      <w:r w:rsidR="00CC28C2" w:rsidRPr="00C00F24">
        <w:rPr>
          <w:highlight w:val="yellow"/>
        </w:rPr>
        <w:t xml:space="preserve"> Standard</w:t>
      </w:r>
    </w:p>
    <w:p w:rsidR="00CC28C2" w:rsidRDefault="00CC28C2" w:rsidP="00756B60">
      <w:pPr>
        <w:pStyle w:val="ListParagraph"/>
        <w:numPr>
          <w:ilvl w:val="0"/>
          <w:numId w:val="1"/>
        </w:numPr>
      </w:pPr>
      <w:r w:rsidRPr="00C00F24">
        <w:rPr>
          <w:highlight w:val="yellow"/>
        </w:rPr>
        <w:t>CAG Advanced</w:t>
      </w:r>
      <w:commentRangeEnd w:id="1"/>
      <w:r w:rsidR="00C00F24">
        <w:rPr>
          <w:rStyle w:val="CommentReference"/>
        </w:rPr>
        <w:commentReference w:id="1"/>
      </w:r>
    </w:p>
    <w:p w:rsidR="00CC28C2" w:rsidRDefault="00CC28C2" w:rsidP="00756B60">
      <w:pPr>
        <w:pStyle w:val="ListParagraph"/>
        <w:numPr>
          <w:ilvl w:val="0"/>
          <w:numId w:val="1"/>
        </w:numPr>
      </w:pPr>
      <w:r>
        <w:t>CAG Enterprise</w:t>
      </w:r>
    </w:p>
    <w:p w:rsidR="00756B60" w:rsidRDefault="00756B60" w:rsidP="00756B60">
      <w:pPr>
        <w:pStyle w:val="ListParagraph"/>
        <w:numPr>
          <w:ilvl w:val="0"/>
          <w:numId w:val="1"/>
        </w:numPr>
      </w:pPr>
      <w:r>
        <w:t>NetScaler Standard</w:t>
      </w:r>
    </w:p>
    <w:p w:rsidR="00756B60" w:rsidRDefault="00756B60" w:rsidP="00756B60">
      <w:pPr>
        <w:pStyle w:val="ListParagraph"/>
        <w:numPr>
          <w:ilvl w:val="0"/>
          <w:numId w:val="1"/>
        </w:numPr>
      </w:pPr>
      <w:r>
        <w:t>NetScaler Enterprise</w:t>
      </w:r>
    </w:p>
    <w:p w:rsidR="00756B60" w:rsidRDefault="00756B60" w:rsidP="00756B60">
      <w:pPr>
        <w:pStyle w:val="ListParagraph"/>
        <w:numPr>
          <w:ilvl w:val="0"/>
          <w:numId w:val="1"/>
        </w:numPr>
      </w:pPr>
      <w:r>
        <w:t>NetScaler Platinum</w:t>
      </w:r>
    </w:p>
    <w:p w:rsidR="00DD2E69" w:rsidRDefault="00DD2E69" w:rsidP="00DD2E69">
      <w:pPr>
        <w:pStyle w:val="Heading1"/>
      </w:pPr>
      <w:r>
        <w:t>How to Configure CSG</w:t>
      </w:r>
    </w:p>
    <w:p w:rsidR="00DD2E69" w:rsidRDefault="00013A72" w:rsidP="00DD2E69">
      <w:r>
        <w:t>Fill this in later</w:t>
      </w:r>
    </w:p>
    <w:p w:rsidR="00087831" w:rsidRDefault="00087831">
      <w:pPr>
        <w:rPr>
          <w:rFonts w:asciiTheme="majorHAnsi" w:eastAsiaTheme="majorEastAsia" w:hAnsiTheme="majorHAnsi" w:cstheme="majorBidi"/>
          <w:b/>
          <w:bCs/>
          <w:color w:val="365F91" w:themeColor="accent1" w:themeShade="BF"/>
          <w:sz w:val="28"/>
          <w:szCs w:val="28"/>
        </w:rPr>
      </w:pPr>
      <w:r>
        <w:br w:type="page"/>
      </w:r>
    </w:p>
    <w:p w:rsidR="00DD2E69" w:rsidRDefault="00DD2E69" w:rsidP="00DD2E69">
      <w:pPr>
        <w:pStyle w:val="Heading1"/>
      </w:pPr>
      <w:r>
        <w:lastRenderedPageBreak/>
        <w:t>How to Configure CAG or NetScaler</w:t>
      </w:r>
    </w:p>
    <w:p w:rsidR="00FE3D60" w:rsidRDefault="00FE3D60" w:rsidP="00087831">
      <w:pPr>
        <w:pStyle w:val="ListParagraph"/>
        <w:numPr>
          <w:ilvl w:val="0"/>
          <w:numId w:val="6"/>
        </w:numPr>
      </w:pPr>
      <w:r>
        <w:t>This guide assumes that you have configured authentication on your vServer in one of three ways : authentication on the vServer using RSA, authentication on the vServer using LDAP, or authentication disabled on the vServer (commonly called CSG Mode)</w:t>
      </w:r>
    </w:p>
    <w:p w:rsidR="00FE3D60" w:rsidRDefault="00FE3D60" w:rsidP="00FE3D60">
      <w:pPr>
        <w:pStyle w:val="ListParagraph"/>
        <w:numPr>
          <w:ilvl w:val="1"/>
          <w:numId w:val="6"/>
        </w:numPr>
      </w:pPr>
      <w:r>
        <w:t>This configuration is done in the vServer under the “Authentication” tab</w:t>
      </w:r>
    </w:p>
    <w:p w:rsidR="00F54580" w:rsidRDefault="00F54580" w:rsidP="00FE3D60">
      <w:pPr>
        <w:pStyle w:val="ListParagraph"/>
        <w:numPr>
          <w:ilvl w:val="1"/>
          <w:numId w:val="6"/>
        </w:numPr>
      </w:pPr>
      <w:r>
        <w:t>When using RSA, your xen.ini (for Xenith) or wnos.ini (for Wyse ThinOS) should have a line such as:</w:t>
      </w:r>
    </w:p>
    <w:p w:rsidR="00F54580" w:rsidRDefault="00F54580" w:rsidP="00F54580">
      <w:pPr>
        <w:pStyle w:val="ListParagraph"/>
        <w:ind w:left="2160"/>
      </w:pPr>
      <w:r>
        <w:t>PnliteServer=https://netscaleraddress.domain.com CAGAuthMethod=RSA</w:t>
      </w:r>
    </w:p>
    <w:p w:rsidR="00F54580" w:rsidRDefault="00F54580" w:rsidP="00F54580">
      <w:pPr>
        <w:pStyle w:val="ListParagraph"/>
        <w:numPr>
          <w:ilvl w:val="1"/>
          <w:numId w:val="6"/>
        </w:numPr>
      </w:pPr>
      <w:r>
        <w:t>When using LDAP, your xen.ini (for Xenith) or wnos.ini (for Wyse ThinOS) should have a line such as:</w:t>
      </w:r>
    </w:p>
    <w:p w:rsidR="00F54580" w:rsidRDefault="00F54580" w:rsidP="00F54580">
      <w:pPr>
        <w:pStyle w:val="ListParagraph"/>
        <w:ind w:left="2160"/>
      </w:pPr>
      <w:r>
        <w:t>PnliteServer=https://netscaleraddress.domain.com CAGAuthMethod=LDAP</w:t>
      </w:r>
    </w:p>
    <w:p w:rsidR="00F54580" w:rsidRDefault="00F54580" w:rsidP="00F54580">
      <w:pPr>
        <w:pStyle w:val="ListParagraph"/>
        <w:numPr>
          <w:ilvl w:val="1"/>
          <w:numId w:val="6"/>
        </w:numPr>
      </w:pPr>
      <w:r>
        <w:t>When using CSG mode (disabled authentication on your vServer), your xen.ini (for Xenith) or wnos.ini (for Wyse ThinOS) should have a line such as:</w:t>
      </w:r>
    </w:p>
    <w:p w:rsidR="00F54580" w:rsidRDefault="00F54580" w:rsidP="00F54580">
      <w:pPr>
        <w:pStyle w:val="ListParagraph"/>
        <w:ind w:left="2160"/>
      </w:pPr>
      <w:r>
        <w:t>PnliteServer=https://netscaleraddress.domain.com</w:t>
      </w:r>
    </w:p>
    <w:p w:rsidR="00C81134" w:rsidRDefault="00C81134" w:rsidP="00087831">
      <w:pPr>
        <w:pStyle w:val="ListParagraph"/>
        <w:numPr>
          <w:ilvl w:val="0"/>
          <w:numId w:val="6"/>
        </w:numPr>
      </w:pPr>
      <w:r>
        <w:t>Go to “Access Gateway”, then “Policies”, then “Session”, and click on the “Profiles” tab</w:t>
      </w:r>
    </w:p>
    <w:p w:rsidR="00C81134" w:rsidRDefault="00C81134" w:rsidP="00C81134">
      <w:pPr>
        <w:pStyle w:val="ListParagraph"/>
        <w:jc w:val="center"/>
      </w:pPr>
      <w:r>
        <w:rPr>
          <w:noProof/>
        </w:rPr>
        <w:drawing>
          <wp:inline distT="0" distB="0" distL="0" distR="0" wp14:anchorId="41F6C697" wp14:editId="332D53DE">
            <wp:extent cx="4757135" cy="3482975"/>
            <wp:effectExtent l="0" t="0" r="571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7135" cy="3482975"/>
                    </a:xfrm>
                    <a:prstGeom prst="rect">
                      <a:avLst/>
                    </a:prstGeom>
                  </pic:spPr>
                </pic:pic>
              </a:graphicData>
            </a:graphic>
          </wp:inline>
        </w:drawing>
      </w:r>
    </w:p>
    <w:p w:rsidR="00C81134" w:rsidRDefault="00C81134" w:rsidP="00087831">
      <w:pPr>
        <w:pStyle w:val="ListParagraph"/>
        <w:numPr>
          <w:ilvl w:val="0"/>
          <w:numId w:val="6"/>
        </w:numPr>
      </w:pPr>
      <w:r>
        <w:t>Create a Request Profile called “WTOS” with the following settings</w:t>
      </w:r>
    </w:p>
    <w:p w:rsidR="00087831" w:rsidRDefault="00087831" w:rsidP="00C81134">
      <w:pPr>
        <w:pStyle w:val="ListParagraph"/>
        <w:numPr>
          <w:ilvl w:val="1"/>
          <w:numId w:val="6"/>
        </w:numPr>
      </w:pPr>
      <w:r>
        <w:t>Request Profile – Network Configuration</w:t>
      </w:r>
    </w:p>
    <w:p w:rsidR="00087831" w:rsidRDefault="00087831" w:rsidP="00087831">
      <w:pPr>
        <w:pStyle w:val="ListParagraph"/>
        <w:jc w:val="center"/>
      </w:pPr>
      <w:r>
        <w:rPr>
          <w:noProof/>
        </w:rPr>
        <w:drawing>
          <wp:inline distT="0" distB="0" distL="0" distR="0" wp14:anchorId="2BA686FF" wp14:editId="3DCB0D42">
            <wp:extent cx="3429000" cy="37046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30796" cy="3706543"/>
                    </a:xfrm>
                    <a:prstGeom prst="rect">
                      <a:avLst/>
                    </a:prstGeom>
                  </pic:spPr>
                </pic:pic>
              </a:graphicData>
            </a:graphic>
          </wp:inline>
        </w:drawing>
      </w:r>
    </w:p>
    <w:p w:rsidR="00087831" w:rsidRDefault="00087831" w:rsidP="00C81134">
      <w:pPr>
        <w:pStyle w:val="ListParagraph"/>
        <w:numPr>
          <w:ilvl w:val="1"/>
          <w:numId w:val="6"/>
        </w:numPr>
      </w:pPr>
      <w:r>
        <w:t>Request Profile – Client Experience</w:t>
      </w:r>
    </w:p>
    <w:p w:rsidR="00087831" w:rsidRDefault="00087831" w:rsidP="00087831">
      <w:pPr>
        <w:pStyle w:val="ListParagraph"/>
        <w:jc w:val="center"/>
      </w:pPr>
      <w:r>
        <w:rPr>
          <w:noProof/>
        </w:rPr>
        <w:drawing>
          <wp:inline distT="0" distB="0" distL="0" distR="0" wp14:anchorId="16E243CD" wp14:editId="014FD636">
            <wp:extent cx="3493008" cy="377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8953" cy="3780178"/>
                    </a:xfrm>
                    <a:prstGeom prst="rect">
                      <a:avLst/>
                    </a:prstGeom>
                  </pic:spPr>
                </pic:pic>
              </a:graphicData>
            </a:graphic>
          </wp:inline>
        </w:drawing>
      </w:r>
    </w:p>
    <w:p w:rsidR="00087831" w:rsidRDefault="00087831" w:rsidP="00C81134">
      <w:pPr>
        <w:pStyle w:val="ListParagraph"/>
      </w:pPr>
    </w:p>
    <w:p w:rsidR="00087831" w:rsidRDefault="00087831" w:rsidP="00C81134">
      <w:pPr>
        <w:pStyle w:val="ListParagraph"/>
        <w:numPr>
          <w:ilvl w:val="1"/>
          <w:numId w:val="6"/>
        </w:numPr>
      </w:pPr>
      <w:r>
        <w:t>Request Profile – Security</w:t>
      </w:r>
    </w:p>
    <w:p w:rsidR="00087831" w:rsidRDefault="00087831" w:rsidP="00087831">
      <w:pPr>
        <w:pStyle w:val="ListParagraph"/>
        <w:jc w:val="center"/>
      </w:pPr>
      <w:r>
        <w:rPr>
          <w:noProof/>
        </w:rPr>
        <w:drawing>
          <wp:inline distT="0" distB="0" distL="0" distR="0" wp14:anchorId="4DB98013" wp14:editId="6073427A">
            <wp:extent cx="3520440" cy="3803391"/>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26339" cy="3809764"/>
                    </a:xfrm>
                    <a:prstGeom prst="rect">
                      <a:avLst/>
                    </a:prstGeom>
                  </pic:spPr>
                </pic:pic>
              </a:graphicData>
            </a:graphic>
          </wp:inline>
        </w:drawing>
      </w:r>
    </w:p>
    <w:p w:rsidR="00C81134" w:rsidRDefault="00C81134" w:rsidP="00C81134">
      <w:pPr>
        <w:pStyle w:val="ListParagraph"/>
        <w:ind w:left="1440"/>
      </w:pPr>
    </w:p>
    <w:p w:rsidR="00087831" w:rsidRDefault="00087831" w:rsidP="00C81134">
      <w:pPr>
        <w:pStyle w:val="ListParagraph"/>
        <w:numPr>
          <w:ilvl w:val="1"/>
          <w:numId w:val="6"/>
        </w:numPr>
      </w:pPr>
      <w:r>
        <w:t>Request Profile – Published Applications</w:t>
      </w:r>
    </w:p>
    <w:p w:rsidR="00C81134" w:rsidRDefault="00C81134" w:rsidP="00C81134">
      <w:pPr>
        <w:pStyle w:val="ListParagraph"/>
        <w:numPr>
          <w:ilvl w:val="2"/>
          <w:numId w:val="6"/>
        </w:numPr>
      </w:pPr>
      <w:r>
        <w:t>For “Web Interface Address” enter the correct path to your Web Interface Service Site that is configured for CAG/NetScaler access</w:t>
      </w:r>
    </w:p>
    <w:p w:rsidR="00087831" w:rsidRDefault="00087831" w:rsidP="00087831">
      <w:pPr>
        <w:pStyle w:val="ListParagraph"/>
        <w:jc w:val="center"/>
      </w:pPr>
      <w:r>
        <w:rPr>
          <w:noProof/>
        </w:rPr>
        <w:drawing>
          <wp:inline distT="0" distB="0" distL="0" distR="0" wp14:anchorId="6CBBDFF8" wp14:editId="7E8C2D38">
            <wp:extent cx="3483864" cy="3763876"/>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88711" cy="3769113"/>
                    </a:xfrm>
                    <a:prstGeom prst="rect">
                      <a:avLst/>
                    </a:prstGeom>
                  </pic:spPr>
                </pic:pic>
              </a:graphicData>
            </a:graphic>
          </wp:inline>
        </w:drawing>
      </w:r>
    </w:p>
    <w:p w:rsidR="00C81134" w:rsidRDefault="00C81134" w:rsidP="00C81134">
      <w:pPr>
        <w:pStyle w:val="ListParagraph"/>
        <w:numPr>
          <w:ilvl w:val="0"/>
          <w:numId w:val="6"/>
        </w:numPr>
      </w:pPr>
      <w:r>
        <w:t>Go to “Access Gateway”, then “Policies”, then “Session”, and click on the “Policies” tab</w:t>
      </w:r>
    </w:p>
    <w:p w:rsidR="00C81134" w:rsidRDefault="00C81134" w:rsidP="00C81134">
      <w:pPr>
        <w:pStyle w:val="ListParagraph"/>
        <w:jc w:val="center"/>
      </w:pPr>
      <w:r>
        <w:rPr>
          <w:noProof/>
        </w:rPr>
        <w:drawing>
          <wp:inline distT="0" distB="0" distL="0" distR="0" wp14:anchorId="4C58512E" wp14:editId="732F288D">
            <wp:extent cx="4902841" cy="358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02841" cy="3589655"/>
                    </a:xfrm>
                    <a:prstGeom prst="rect">
                      <a:avLst/>
                    </a:prstGeom>
                  </pic:spPr>
                </pic:pic>
              </a:graphicData>
            </a:graphic>
          </wp:inline>
        </w:drawing>
      </w:r>
    </w:p>
    <w:p w:rsidR="00C81134" w:rsidRDefault="00376D6E" w:rsidP="00C81134">
      <w:pPr>
        <w:pStyle w:val="ListParagraph"/>
        <w:numPr>
          <w:ilvl w:val="0"/>
          <w:numId w:val="6"/>
        </w:numPr>
      </w:pPr>
      <w:r>
        <w:t>Click “Add” to create a new policy called “WTOS” and select “WTOS” as the “Request Profile”</w:t>
      </w:r>
    </w:p>
    <w:p w:rsidR="00376D6E" w:rsidRDefault="00376D6E" w:rsidP="00376D6E">
      <w:pPr>
        <w:pStyle w:val="ListParagraph"/>
        <w:jc w:val="center"/>
      </w:pPr>
      <w:r>
        <w:rPr>
          <w:noProof/>
        </w:rPr>
        <w:drawing>
          <wp:inline distT="0" distB="0" distL="0" distR="0" wp14:anchorId="13A8EF61" wp14:editId="52F42298">
            <wp:extent cx="3676650" cy="23874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82933" cy="2391546"/>
                    </a:xfrm>
                    <a:prstGeom prst="rect">
                      <a:avLst/>
                    </a:prstGeom>
                  </pic:spPr>
                </pic:pic>
              </a:graphicData>
            </a:graphic>
          </wp:inline>
        </w:drawing>
      </w:r>
    </w:p>
    <w:p w:rsidR="00376D6E" w:rsidRDefault="00376D6E" w:rsidP="00C81134">
      <w:pPr>
        <w:pStyle w:val="ListParagraph"/>
        <w:numPr>
          <w:ilvl w:val="0"/>
          <w:numId w:val="6"/>
        </w:numPr>
      </w:pPr>
      <w:r>
        <w:t>Click “Add” and enter details as below</w:t>
      </w:r>
    </w:p>
    <w:p w:rsidR="00376D6E" w:rsidRDefault="00376D6E" w:rsidP="00376D6E">
      <w:pPr>
        <w:pStyle w:val="ListParagraph"/>
        <w:jc w:val="center"/>
      </w:pPr>
      <w:r>
        <w:rPr>
          <w:noProof/>
        </w:rPr>
        <w:drawing>
          <wp:inline distT="0" distB="0" distL="0" distR="0" wp14:anchorId="30537113" wp14:editId="0C25A97E">
            <wp:extent cx="4581525" cy="15271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81525" cy="1527175"/>
                    </a:xfrm>
                    <a:prstGeom prst="rect">
                      <a:avLst/>
                    </a:prstGeom>
                  </pic:spPr>
                </pic:pic>
              </a:graphicData>
            </a:graphic>
          </wp:inline>
        </w:drawing>
      </w:r>
    </w:p>
    <w:p w:rsidR="00376D6E" w:rsidRDefault="00376D6E" w:rsidP="00C81134">
      <w:pPr>
        <w:pStyle w:val="ListParagraph"/>
        <w:numPr>
          <w:ilvl w:val="0"/>
          <w:numId w:val="6"/>
        </w:numPr>
      </w:pPr>
      <w:r>
        <w:t>Click “OK”, then click “Create”, and then click “Close”</w:t>
      </w:r>
    </w:p>
    <w:p w:rsidR="00376D6E" w:rsidRDefault="00376D6E" w:rsidP="00376D6E">
      <w:pPr>
        <w:pStyle w:val="ListParagraph"/>
        <w:numPr>
          <w:ilvl w:val="0"/>
          <w:numId w:val="6"/>
        </w:numPr>
      </w:pPr>
      <w:r>
        <w:t>Open the vServer, go to the “Policies” tab, and click “Insert Policy”</w:t>
      </w:r>
    </w:p>
    <w:p w:rsidR="00376D6E" w:rsidRDefault="00376D6E" w:rsidP="00376D6E">
      <w:pPr>
        <w:pStyle w:val="ListParagraph"/>
        <w:jc w:val="center"/>
      </w:pPr>
      <w:r>
        <w:rPr>
          <w:noProof/>
        </w:rPr>
        <w:drawing>
          <wp:inline distT="0" distB="0" distL="0" distR="0" wp14:anchorId="6711926B" wp14:editId="1E7B6406">
            <wp:extent cx="4852078" cy="394335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53354" cy="3944387"/>
                    </a:xfrm>
                    <a:prstGeom prst="rect">
                      <a:avLst/>
                    </a:prstGeom>
                  </pic:spPr>
                </pic:pic>
              </a:graphicData>
            </a:graphic>
          </wp:inline>
        </w:drawing>
      </w:r>
    </w:p>
    <w:p w:rsidR="00376D6E" w:rsidRDefault="00376D6E" w:rsidP="00376D6E">
      <w:pPr>
        <w:pStyle w:val="ListParagraph"/>
      </w:pPr>
    </w:p>
    <w:p w:rsidR="00376D6E" w:rsidRDefault="00376D6E" w:rsidP="00C81134">
      <w:pPr>
        <w:pStyle w:val="ListParagraph"/>
        <w:numPr>
          <w:ilvl w:val="0"/>
          <w:numId w:val="6"/>
        </w:numPr>
      </w:pPr>
      <w:r>
        <w:t>Select “WTOS” as the “Policy Name” – this will bind the policy and profile we created previously to your vServer</w:t>
      </w:r>
    </w:p>
    <w:p w:rsidR="00376D6E" w:rsidRDefault="00376D6E" w:rsidP="00376D6E">
      <w:pPr>
        <w:pStyle w:val="ListParagraph"/>
        <w:jc w:val="center"/>
      </w:pPr>
      <w:r>
        <w:rPr>
          <w:noProof/>
        </w:rPr>
        <w:drawing>
          <wp:inline distT="0" distB="0" distL="0" distR="0" wp14:anchorId="5B33A883" wp14:editId="67D491D0">
            <wp:extent cx="4535638" cy="3686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36831" cy="3687144"/>
                    </a:xfrm>
                    <a:prstGeom prst="rect">
                      <a:avLst/>
                    </a:prstGeom>
                  </pic:spPr>
                </pic:pic>
              </a:graphicData>
            </a:graphic>
          </wp:inline>
        </w:drawing>
      </w:r>
    </w:p>
    <w:p w:rsidR="00376D6E" w:rsidRDefault="00376D6E" w:rsidP="00C81134">
      <w:pPr>
        <w:pStyle w:val="ListParagraph"/>
        <w:numPr>
          <w:ilvl w:val="0"/>
          <w:numId w:val="6"/>
        </w:numPr>
      </w:pPr>
      <w:r>
        <w:t>Click “OK”</w:t>
      </w:r>
    </w:p>
    <w:p w:rsidR="00376D6E" w:rsidRDefault="00376D6E" w:rsidP="00C81134">
      <w:pPr>
        <w:pStyle w:val="ListParagraph"/>
        <w:numPr>
          <w:ilvl w:val="0"/>
          <w:numId w:val="6"/>
        </w:numPr>
      </w:pPr>
      <w:r>
        <w:t xml:space="preserve">Successfully test a connection from a Wyse </w:t>
      </w:r>
      <w:r w:rsidR="00013A72">
        <w:t>Xenith or Wyse Thin</w:t>
      </w:r>
      <w:r>
        <w:t>OS device</w:t>
      </w:r>
    </w:p>
    <w:p w:rsidR="00013A72" w:rsidRDefault="00013A72">
      <w:pPr>
        <w:rPr>
          <w:highlight w:val="yellow"/>
        </w:rPr>
      </w:pPr>
      <w:r>
        <w:rPr>
          <w:highlight w:val="yellow"/>
        </w:rPr>
        <w:br w:type="page"/>
      </w:r>
    </w:p>
    <w:p w:rsidR="00013A72" w:rsidRDefault="00013A72" w:rsidP="00013A72">
      <w:pPr>
        <w:pStyle w:val="Heading1"/>
      </w:pPr>
      <w:r>
        <w:t>Useful Links</w:t>
      </w:r>
    </w:p>
    <w:p w:rsidR="00013A72" w:rsidRDefault="00013A72" w:rsidP="00013A72">
      <w:pPr>
        <w:pStyle w:val="ListParagraph"/>
        <w:numPr>
          <w:ilvl w:val="0"/>
          <w:numId w:val="4"/>
        </w:numPr>
      </w:pPr>
      <w:r>
        <w:t>Download NetScaler VPX</w:t>
      </w:r>
    </w:p>
    <w:p w:rsidR="00013A72" w:rsidRDefault="00484B9E" w:rsidP="00013A72">
      <w:pPr>
        <w:pStyle w:val="ListParagraph"/>
        <w:numPr>
          <w:ilvl w:val="1"/>
          <w:numId w:val="4"/>
        </w:numPr>
      </w:pPr>
      <w:hyperlink r:id="rId20" w:history="1">
        <w:r w:rsidR="00013A72" w:rsidRPr="006A7C65">
          <w:rPr>
            <w:rStyle w:val="Hyperlink"/>
          </w:rPr>
          <w:t>http://www.citrix.com/trynetscaler/</w:t>
        </w:r>
      </w:hyperlink>
    </w:p>
    <w:p w:rsidR="00013A72" w:rsidRDefault="00013A72" w:rsidP="00013A72">
      <w:pPr>
        <w:pStyle w:val="ListParagraph"/>
        <w:numPr>
          <w:ilvl w:val="0"/>
          <w:numId w:val="4"/>
        </w:numPr>
      </w:pPr>
      <w:r>
        <w:t>Download Citrix Access Gateway VPX</w:t>
      </w:r>
    </w:p>
    <w:p w:rsidR="00013A72" w:rsidRDefault="00484B9E" w:rsidP="00013A72">
      <w:pPr>
        <w:pStyle w:val="ListParagraph"/>
        <w:numPr>
          <w:ilvl w:val="1"/>
          <w:numId w:val="4"/>
        </w:numPr>
      </w:pPr>
      <w:hyperlink r:id="rId21" w:history="1">
        <w:r w:rsidR="00013A72" w:rsidRPr="006A7C65">
          <w:rPr>
            <w:rStyle w:val="Hyperlink"/>
          </w:rPr>
          <w:t>http://www.citrix.com/tryaccessgateway/</w:t>
        </w:r>
      </w:hyperlink>
    </w:p>
    <w:p w:rsidR="00013A72" w:rsidRDefault="00013A72" w:rsidP="00013A72">
      <w:pPr>
        <w:pStyle w:val="ListParagraph"/>
        <w:numPr>
          <w:ilvl w:val="0"/>
          <w:numId w:val="4"/>
        </w:numPr>
      </w:pPr>
      <w:r>
        <w:t>Getting Started with Access Gateway Enterprise Edition 9.1</w:t>
      </w:r>
    </w:p>
    <w:p w:rsidR="00013A72" w:rsidRDefault="00484B9E" w:rsidP="00013A72">
      <w:pPr>
        <w:pStyle w:val="ListParagraph"/>
        <w:numPr>
          <w:ilvl w:val="1"/>
          <w:numId w:val="4"/>
        </w:numPr>
      </w:pPr>
      <w:hyperlink r:id="rId22" w:history="1">
        <w:r w:rsidR="00013A72">
          <w:rPr>
            <w:rStyle w:val="Hyperlink"/>
          </w:rPr>
          <w:t>http://support.citrix.com/article/CTX121641</w:t>
        </w:r>
      </w:hyperlink>
    </w:p>
    <w:p w:rsidR="00013A72" w:rsidRDefault="00013A72" w:rsidP="00013A72">
      <w:pPr>
        <w:pStyle w:val="ListParagraph"/>
        <w:numPr>
          <w:ilvl w:val="0"/>
          <w:numId w:val="4"/>
        </w:numPr>
      </w:pPr>
      <w:r>
        <w:t>Getting Started with NetScaler VPX 9.3</w:t>
      </w:r>
    </w:p>
    <w:p w:rsidR="00013A72" w:rsidRDefault="00484B9E" w:rsidP="00013A72">
      <w:pPr>
        <w:pStyle w:val="ListParagraph"/>
        <w:numPr>
          <w:ilvl w:val="1"/>
          <w:numId w:val="4"/>
        </w:numPr>
      </w:pPr>
      <w:hyperlink r:id="rId23" w:history="1">
        <w:r w:rsidR="00013A72">
          <w:rPr>
            <w:rStyle w:val="Hyperlink"/>
          </w:rPr>
          <w:t>http://support.citrix.com/article/CTX128668</w:t>
        </w:r>
      </w:hyperlink>
    </w:p>
    <w:p w:rsidR="00013A72" w:rsidRDefault="00013A72" w:rsidP="00013A72">
      <w:pPr>
        <w:pStyle w:val="ListParagraph"/>
        <w:numPr>
          <w:ilvl w:val="0"/>
          <w:numId w:val="4"/>
        </w:numPr>
      </w:pPr>
      <w:r>
        <w:t>NetScaler edition comparison chart</w:t>
      </w:r>
    </w:p>
    <w:p w:rsidR="00013A72" w:rsidRDefault="00484B9E" w:rsidP="00013A72">
      <w:pPr>
        <w:pStyle w:val="ListParagraph"/>
        <w:numPr>
          <w:ilvl w:val="1"/>
          <w:numId w:val="4"/>
        </w:numPr>
      </w:pPr>
      <w:hyperlink r:id="rId24" w:history="1">
        <w:r w:rsidR="00013A72">
          <w:rPr>
            <w:rStyle w:val="Hyperlink"/>
          </w:rPr>
          <w:t>http://www.citrix.com/English/ps2/products/subfeature.asp?contentID=2300450</w:t>
        </w:r>
      </w:hyperlink>
    </w:p>
    <w:p w:rsidR="00013A72" w:rsidRDefault="00013A72" w:rsidP="00013A72">
      <w:pPr>
        <w:pStyle w:val="ListParagraph"/>
        <w:numPr>
          <w:ilvl w:val="0"/>
          <w:numId w:val="4"/>
        </w:numPr>
      </w:pPr>
      <w:r>
        <w:t>NetScaler hardware appliance comparison</w:t>
      </w:r>
    </w:p>
    <w:p w:rsidR="00013A72" w:rsidRPr="004D4DE0" w:rsidRDefault="00484B9E" w:rsidP="00013A72">
      <w:pPr>
        <w:pStyle w:val="ListParagraph"/>
        <w:numPr>
          <w:ilvl w:val="1"/>
          <w:numId w:val="4"/>
        </w:numPr>
        <w:rPr>
          <w:rStyle w:val="Hyperlink"/>
          <w:color w:val="auto"/>
          <w:u w:val="none"/>
        </w:rPr>
      </w:pPr>
      <w:hyperlink r:id="rId25" w:history="1">
        <w:r w:rsidR="00013A72">
          <w:rPr>
            <w:rStyle w:val="Hyperlink"/>
          </w:rPr>
          <w:t>http://www.citrix.com/lang/English/lp/lp_1857713.asp</w:t>
        </w:r>
      </w:hyperlink>
    </w:p>
    <w:p w:rsidR="00013A72" w:rsidRDefault="00013A72" w:rsidP="00013A72">
      <w:pPr>
        <w:pStyle w:val="Heading1"/>
      </w:pPr>
      <w:r>
        <w:t>Common Errors on Xenith or WTOS</w:t>
      </w:r>
    </w:p>
    <w:p w:rsidR="00013A72" w:rsidRDefault="00013A72" w:rsidP="00013A72">
      <w:pPr>
        <w:pStyle w:val="ListParagraph"/>
        <w:numPr>
          <w:ilvl w:val="0"/>
          <w:numId w:val="5"/>
        </w:numPr>
      </w:pPr>
      <w:r>
        <w:t>Citrix signon: No such file or directory</w:t>
      </w:r>
    </w:p>
    <w:p w:rsidR="00013A72" w:rsidRDefault="00013A72" w:rsidP="00013A72">
      <w:pPr>
        <w:pStyle w:val="ListParagraph"/>
        <w:numPr>
          <w:ilvl w:val="1"/>
          <w:numId w:val="5"/>
        </w:numPr>
      </w:pPr>
      <w:r>
        <w:t>Access Gateway Session Profile &gt; Security &gt; Default Authorization Action should be set to “Allow”</w:t>
      </w:r>
    </w:p>
    <w:p w:rsidR="00013A72" w:rsidRDefault="00013A72" w:rsidP="00013A72">
      <w:pPr>
        <w:pStyle w:val="ListParagraph"/>
        <w:numPr>
          <w:ilvl w:val="0"/>
          <w:numId w:val="5"/>
        </w:numPr>
      </w:pPr>
      <w:r w:rsidRPr="004D4DE0">
        <w:t>SSL: unknown certificate authority!</w:t>
      </w:r>
    </w:p>
    <w:p w:rsidR="00013A72" w:rsidRPr="004D4DE0" w:rsidRDefault="00013A72" w:rsidP="00013A72">
      <w:pPr>
        <w:pStyle w:val="ListParagraph"/>
        <w:numPr>
          <w:ilvl w:val="1"/>
          <w:numId w:val="5"/>
        </w:numPr>
        <w:rPr>
          <w:highlight w:val="yellow"/>
        </w:rPr>
      </w:pPr>
      <w:r w:rsidRPr="004D4DE0">
        <w:rPr>
          <w:highlight w:val="yellow"/>
        </w:rPr>
        <w:t>Provide steps on in</w:t>
      </w:r>
      <w:r>
        <w:rPr>
          <w:highlight w:val="yellow"/>
        </w:rPr>
        <w:t>stalling the root CA and intermediate certs</w:t>
      </w:r>
    </w:p>
    <w:p w:rsidR="00013A72" w:rsidRDefault="00013A72" w:rsidP="00013A72">
      <w:pPr>
        <w:pStyle w:val="ListParagraph"/>
        <w:numPr>
          <w:ilvl w:val="0"/>
          <w:numId w:val="5"/>
        </w:numPr>
      </w:pPr>
      <w:r w:rsidRPr="004D4DE0">
        <w:t>SSL: unable to setup connection {err=7517}</w:t>
      </w:r>
    </w:p>
    <w:p w:rsidR="00013A72" w:rsidRDefault="00013A72" w:rsidP="00013A72">
      <w:pPr>
        <w:pStyle w:val="ListParagraph"/>
        <w:numPr>
          <w:ilvl w:val="1"/>
          <w:numId w:val="5"/>
        </w:numPr>
        <w:rPr>
          <w:highlight w:val="yellow"/>
        </w:rPr>
      </w:pPr>
      <w:r w:rsidRPr="004D4DE0">
        <w:rPr>
          <w:highlight w:val="yellow"/>
        </w:rPr>
        <w:t>Provide steps on installing the root CA and intermediate certs</w:t>
      </w:r>
    </w:p>
    <w:p w:rsidR="00013A72" w:rsidRDefault="00013A72" w:rsidP="00013A72">
      <w:pPr>
        <w:pStyle w:val="ListParagraph"/>
        <w:numPr>
          <w:ilvl w:val="1"/>
          <w:numId w:val="5"/>
        </w:numPr>
        <w:rPr>
          <w:highlight w:val="yellow"/>
        </w:rPr>
      </w:pPr>
      <w:r>
        <w:rPr>
          <w:highlight w:val="yellow"/>
        </w:rPr>
        <w:t>Sometimes a latent error, not reproducible yet.  Trying connection again seems to work</w:t>
      </w:r>
    </w:p>
    <w:p w:rsidR="00DD2E69" w:rsidRPr="00DD2E69" w:rsidRDefault="00DD2E69" w:rsidP="00DD2E69">
      <w:pPr>
        <w:jc w:val="center"/>
        <w:rPr>
          <w:highlight w:val="yellow"/>
        </w:rPr>
      </w:pPr>
    </w:p>
    <w:sectPr w:rsidR="00DD2E69" w:rsidRPr="00DD2E69" w:rsidSect="00013A72">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meron Smith" w:date="2011-04-25T02:00:00Z" w:initials="cjs">
    <w:p w:rsidR="00C00F24" w:rsidRDefault="00C00F24">
      <w:pPr>
        <w:pStyle w:val="CommentText"/>
      </w:pPr>
      <w:r>
        <w:rPr>
          <w:rStyle w:val="CommentReference"/>
        </w:rPr>
        <w:annotationRef/>
      </w:r>
      <w:r>
        <w:t>I think these need to be validated separately.  Certainly true for CSG.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CB8"/>
    <w:multiLevelType w:val="hybridMultilevel"/>
    <w:tmpl w:val="3BC8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C0174"/>
    <w:multiLevelType w:val="hybridMultilevel"/>
    <w:tmpl w:val="EB2A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96A88"/>
    <w:multiLevelType w:val="hybridMultilevel"/>
    <w:tmpl w:val="461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44511"/>
    <w:multiLevelType w:val="hybridMultilevel"/>
    <w:tmpl w:val="A060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D4CBB"/>
    <w:multiLevelType w:val="hybridMultilevel"/>
    <w:tmpl w:val="D92C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A1938"/>
    <w:multiLevelType w:val="hybridMultilevel"/>
    <w:tmpl w:val="4E8A5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3B"/>
    <w:rsid w:val="00013A72"/>
    <w:rsid w:val="00087831"/>
    <w:rsid w:val="001A52A5"/>
    <w:rsid w:val="00272F40"/>
    <w:rsid w:val="002C2A22"/>
    <w:rsid w:val="00376D6E"/>
    <w:rsid w:val="00484B9E"/>
    <w:rsid w:val="004D38AB"/>
    <w:rsid w:val="004D4DE0"/>
    <w:rsid w:val="005527F7"/>
    <w:rsid w:val="00620602"/>
    <w:rsid w:val="006913B0"/>
    <w:rsid w:val="00756B60"/>
    <w:rsid w:val="009C6C26"/>
    <w:rsid w:val="00AE2C4B"/>
    <w:rsid w:val="00C00F24"/>
    <w:rsid w:val="00C81134"/>
    <w:rsid w:val="00CC28C2"/>
    <w:rsid w:val="00DD2E69"/>
    <w:rsid w:val="00E012F0"/>
    <w:rsid w:val="00E87B3B"/>
    <w:rsid w:val="00F32A94"/>
    <w:rsid w:val="00F359AA"/>
    <w:rsid w:val="00F54580"/>
    <w:rsid w:val="00F843E4"/>
    <w:rsid w:val="00FD5AF1"/>
    <w:rsid w:val="00FE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B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7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3B"/>
    <w:rPr>
      <w:rFonts w:ascii="Tahoma" w:hAnsi="Tahoma" w:cs="Tahoma"/>
      <w:sz w:val="16"/>
      <w:szCs w:val="16"/>
    </w:rPr>
  </w:style>
  <w:style w:type="paragraph" w:styleId="ListParagraph">
    <w:name w:val="List Paragraph"/>
    <w:basedOn w:val="Normal"/>
    <w:uiPriority w:val="34"/>
    <w:qFormat/>
    <w:rsid w:val="00756B60"/>
    <w:pPr>
      <w:ind w:left="720"/>
      <w:contextualSpacing/>
    </w:pPr>
  </w:style>
  <w:style w:type="paragraph" w:styleId="Subtitle">
    <w:name w:val="Subtitle"/>
    <w:basedOn w:val="Normal"/>
    <w:next w:val="Normal"/>
    <w:link w:val="SubtitleChar"/>
    <w:uiPriority w:val="11"/>
    <w:qFormat/>
    <w:rsid w:val="00756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B6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C28C2"/>
    <w:rPr>
      <w:color w:val="0000FF"/>
      <w:u w:val="single"/>
    </w:rPr>
  </w:style>
  <w:style w:type="character" w:styleId="FollowedHyperlink">
    <w:name w:val="FollowedHyperlink"/>
    <w:basedOn w:val="DefaultParagraphFont"/>
    <w:uiPriority w:val="99"/>
    <w:semiHidden/>
    <w:unhideWhenUsed/>
    <w:rsid w:val="00F359AA"/>
    <w:rPr>
      <w:color w:val="800080" w:themeColor="followedHyperlink"/>
      <w:u w:val="single"/>
    </w:rPr>
  </w:style>
  <w:style w:type="character" w:styleId="CommentReference">
    <w:name w:val="annotation reference"/>
    <w:basedOn w:val="DefaultParagraphFont"/>
    <w:uiPriority w:val="99"/>
    <w:semiHidden/>
    <w:unhideWhenUsed/>
    <w:rsid w:val="00C00F24"/>
    <w:rPr>
      <w:sz w:val="16"/>
      <w:szCs w:val="16"/>
    </w:rPr>
  </w:style>
  <w:style w:type="paragraph" w:styleId="CommentText">
    <w:name w:val="annotation text"/>
    <w:basedOn w:val="Normal"/>
    <w:link w:val="CommentTextChar"/>
    <w:uiPriority w:val="99"/>
    <w:semiHidden/>
    <w:unhideWhenUsed/>
    <w:rsid w:val="00C00F24"/>
    <w:pPr>
      <w:spacing w:line="240" w:lineRule="auto"/>
    </w:pPr>
    <w:rPr>
      <w:sz w:val="20"/>
      <w:szCs w:val="20"/>
    </w:rPr>
  </w:style>
  <w:style w:type="character" w:customStyle="1" w:styleId="CommentTextChar">
    <w:name w:val="Comment Text Char"/>
    <w:basedOn w:val="DefaultParagraphFont"/>
    <w:link w:val="CommentText"/>
    <w:uiPriority w:val="99"/>
    <w:semiHidden/>
    <w:rsid w:val="00C00F24"/>
    <w:rPr>
      <w:sz w:val="20"/>
      <w:szCs w:val="20"/>
    </w:rPr>
  </w:style>
  <w:style w:type="paragraph" w:styleId="CommentSubject">
    <w:name w:val="annotation subject"/>
    <w:basedOn w:val="CommentText"/>
    <w:next w:val="CommentText"/>
    <w:link w:val="CommentSubjectChar"/>
    <w:uiPriority w:val="99"/>
    <w:semiHidden/>
    <w:unhideWhenUsed/>
    <w:rsid w:val="00C00F24"/>
    <w:rPr>
      <w:b/>
      <w:bCs/>
    </w:rPr>
  </w:style>
  <w:style w:type="character" w:customStyle="1" w:styleId="CommentSubjectChar">
    <w:name w:val="Comment Subject Char"/>
    <w:basedOn w:val="CommentTextChar"/>
    <w:link w:val="CommentSubject"/>
    <w:uiPriority w:val="99"/>
    <w:semiHidden/>
    <w:rsid w:val="00C00F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B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7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3B"/>
    <w:rPr>
      <w:rFonts w:ascii="Tahoma" w:hAnsi="Tahoma" w:cs="Tahoma"/>
      <w:sz w:val="16"/>
      <w:szCs w:val="16"/>
    </w:rPr>
  </w:style>
  <w:style w:type="paragraph" w:styleId="ListParagraph">
    <w:name w:val="List Paragraph"/>
    <w:basedOn w:val="Normal"/>
    <w:uiPriority w:val="34"/>
    <w:qFormat/>
    <w:rsid w:val="00756B60"/>
    <w:pPr>
      <w:ind w:left="720"/>
      <w:contextualSpacing/>
    </w:pPr>
  </w:style>
  <w:style w:type="paragraph" w:styleId="Subtitle">
    <w:name w:val="Subtitle"/>
    <w:basedOn w:val="Normal"/>
    <w:next w:val="Normal"/>
    <w:link w:val="SubtitleChar"/>
    <w:uiPriority w:val="11"/>
    <w:qFormat/>
    <w:rsid w:val="00756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B6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C28C2"/>
    <w:rPr>
      <w:color w:val="0000FF"/>
      <w:u w:val="single"/>
    </w:rPr>
  </w:style>
  <w:style w:type="character" w:styleId="FollowedHyperlink">
    <w:name w:val="FollowedHyperlink"/>
    <w:basedOn w:val="DefaultParagraphFont"/>
    <w:uiPriority w:val="99"/>
    <w:semiHidden/>
    <w:unhideWhenUsed/>
    <w:rsid w:val="00F359AA"/>
    <w:rPr>
      <w:color w:val="800080" w:themeColor="followedHyperlink"/>
      <w:u w:val="single"/>
    </w:rPr>
  </w:style>
  <w:style w:type="character" w:styleId="CommentReference">
    <w:name w:val="annotation reference"/>
    <w:basedOn w:val="DefaultParagraphFont"/>
    <w:uiPriority w:val="99"/>
    <w:semiHidden/>
    <w:unhideWhenUsed/>
    <w:rsid w:val="00C00F24"/>
    <w:rPr>
      <w:sz w:val="16"/>
      <w:szCs w:val="16"/>
    </w:rPr>
  </w:style>
  <w:style w:type="paragraph" w:styleId="CommentText">
    <w:name w:val="annotation text"/>
    <w:basedOn w:val="Normal"/>
    <w:link w:val="CommentTextChar"/>
    <w:uiPriority w:val="99"/>
    <w:semiHidden/>
    <w:unhideWhenUsed/>
    <w:rsid w:val="00C00F24"/>
    <w:pPr>
      <w:spacing w:line="240" w:lineRule="auto"/>
    </w:pPr>
    <w:rPr>
      <w:sz w:val="20"/>
      <w:szCs w:val="20"/>
    </w:rPr>
  </w:style>
  <w:style w:type="character" w:customStyle="1" w:styleId="CommentTextChar">
    <w:name w:val="Comment Text Char"/>
    <w:basedOn w:val="DefaultParagraphFont"/>
    <w:link w:val="CommentText"/>
    <w:uiPriority w:val="99"/>
    <w:semiHidden/>
    <w:rsid w:val="00C00F24"/>
    <w:rPr>
      <w:sz w:val="20"/>
      <w:szCs w:val="20"/>
    </w:rPr>
  </w:style>
  <w:style w:type="paragraph" w:styleId="CommentSubject">
    <w:name w:val="annotation subject"/>
    <w:basedOn w:val="CommentText"/>
    <w:next w:val="CommentText"/>
    <w:link w:val="CommentSubjectChar"/>
    <w:uiPriority w:val="99"/>
    <w:semiHidden/>
    <w:unhideWhenUsed/>
    <w:rsid w:val="00C00F24"/>
    <w:rPr>
      <w:b/>
      <w:bCs/>
    </w:rPr>
  </w:style>
  <w:style w:type="character" w:customStyle="1" w:styleId="CommentSubjectChar">
    <w:name w:val="Comment Subject Char"/>
    <w:basedOn w:val="CommentTextChar"/>
    <w:link w:val="CommentSubject"/>
    <w:uiPriority w:val="99"/>
    <w:semiHidden/>
    <w:rsid w:val="00C00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itrix.com/tryaccessgateway/"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itrix.com/lang/English/lp/lp_1857713.asp"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citrix.com/trynetscal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citrix.com/English/ps2/products/subfeature.asp?contentID=230045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upport.citrix.com/article/CTX128668"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8.png"/><Relationship Id="rId22" Type="http://schemas.openxmlformats.org/officeDocument/2006/relationships/hyperlink" Target="http://support.citrix.com/article/CTX1216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Wyse Technology</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Smith</dc:creator>
  <cp:lastModifiedBy>hangulo</cp:lastModifiedBy>
  <cp:revision>2</cp:revision>
  <dcterms:created xsi:type="dcterms:W3CDTF">2011-07-19T19:15:00Z</dcterms:created>
  <dcterms:modified xsi:type="dcterms:W3CDTF">2011-07-19T19:15:00Z</dcterms:modified>
</cp:coreProperties>
</file>